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E5" w:rsidRPr="002A0DE5" w:rsidRDefault="002A0DE5" w:rsidP="002A0DE5">
      <w:pPr>
        <w:shd w:val="clear" w:color="auto" w:fill="FFFFFF"/>
        <w:spacing w:after="48" w:line="288" w:lineRule="atLeast"/>
        <w:outlineLvl w:val="1"/>
        <w:rPr>
          <w:rFonts w:ascii="Arial" w:eastAsia="Times New Roman" w:hAnsi="Arial" w:cs="Arial"/>
          <w:caps/>
          <w:color w:val="2F2F2F"/>
          <w:sz w:val="36"/>
          <w:szCs w:val="36"/>
          <w:lang w:eastAsia="es-ES"/>
        </w:rPr>
      </w:pPr>
      <w:r w:rsidRPr="002A0DE5">
        <w:rPr>
          <w:rFonts w:ascii="Arial" w:eastAsia="Times New Roman" w:hAnsi="Arial" w:cs="Arial"/>
          <w:caps/>
          <w:color w:val="2F2F2F"/>
          <w:sz w:val="36"/>
          <w:szCs w:val="36"/>
          <w:lang w:eastAsia="es-ES"/>
        </w:rPr>
        <w:t>NICOLAS SMIRLIAN</w:t>
      </w:r>
    </w:p>
    <w:p w:rsidR="002A0DE5" w:rsidRPr="002A0DE5" w:rsidRDefault="002A0DE5" w:rsidP="002A0DE5">
      <w:pPr>
        <w:shd w:val="clear" w:color="auto" w:fill="FFFFFF"/>
        <w:spacing w:after="240" w:line="288" w:lineRule="atLeast"/>
        <w:outlineLvl w:val="4"/>
        <w:rPr>
          <w:rFonts w:ascii="Arial" w:eastAsia="Times New Roman" w:hAnsi="Arial" w:cs="Arial"/>
          <w:caps/>
          <w:color w:val="777777"/>
          <w:sz w:val="20"/>
          <w:szCs w:val="20"/>
          <w:lang w:eastAsia="es-ES"/>
        </w:rPr>
      </w:pPr>
      <w:r w:rsidRPr="002A0DE5">
        <w:rPr>
          <w:rFonts w:ascii="Arial" w:eastAsia="Times New Roman" w:hAnsi="Arial" w:cs="Arial"/>
          <w:caps/>
          <w:color w:val="777777"/>
          <w:sz w:val="20"/>
          <w:szCs w:val="20"/>
          <w:lang w:eastAsia="es-ES"/>
        </w:rPr>
        <w:t>GERENTE DEL DEPARTAMENTO DE AUDITORÍA Y CONSULTORÍA</w:t>
      </w:r>
    </w:p>
    <w:p w:rsidR="00833F4B" w:rsidRDefault="002A0DE5">
      <w:r>
        <w:rPr>
          <w:noProof/>
          <w:lang w:eastAsia="es-ES"/>
        </w:rPr>
        <w:drawing>
          <wp:inline distT="0" distB="0" distL="0" distR="0">
            <wp:extent cx="1736998" cy="2606723"/>
            <wp:effectExtent l="0" t="0" r="0" b="3175"/>
            <wp:docPr id="1" name="Imagen 1" descr="Nuevo Arch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Archi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00" cy="2611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DE5" w:rsidRDefault="002A0DE5">
      <w:r>
        <w:rPr>
          <w:rFonts w:ascii="Arial" w:hAnsi="Arial" w:cs="Arial"/>
          <w:b/>
          <w:bCs/>
          <w:color w:val="808080"/>
          <w:sz w:val="20"/>
          <w:szCs w:val="20"/>
          <w:shd w:val="clear" w:color="auto" w:fill="FFFFFF"/>
        </w:rPr>
        <w:t>Nacionalidad: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Argentina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808080"/>
          <w:sz w:val="20"/>
          <w:szCs w:val="20"/>
          <w:shd w:val="clear" w:color="auto" w:fill="FFFFFF"/>
        </w:rPr>
        <w:t>Profesión: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Contador Público (UBA)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808080"/>
          <w:sz w:val="20"/>
          <w:szCs w:val="20"/>
          <w:shd w:val="clear" w:color="auto" w:fill="FFFFFF"/>
        </w:rPr>
        <w:t>Cargo en la Firma: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Gerente del Departamento de Auditoría y Consultoría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808080"/>
          <w:sz w:val="20"/>
          <w:szCs w:val="20"/>
          <w:shd w:val="clear" w:color="auto" w:fill="FFFFFF"/>
        </w:rPr>
        <w:t>Año de ingreso: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2013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993366"/>
          <w:sz w:val="20"/>
          <w:szCs w:val="20"/>
          <w:shd w:val="clear" w:color="auto" w:fill="FFFFFF"/>
        </w:rPr>
        <w:t>Actuación Profesional </w:t>
      </w:r>
      <w:r>
        <w:rPr>
          <w:rFonts w:ascii="Arial" w:hAnsi="Arial" w:cs="Arial"/>
          <w:b/>
          <w:bCs/>
          <w:color w:val="9933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Actualmente se desempeña como Gerente del Departamento de Auditoría y Consultoría de SMS – San Martín, Suarez y Asociados.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Ha desarrollado la totalidad de su carrera profesional en la Firma.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993366"/>
          <w:sz w:val="20"/>
          <w:szCs w:val="20"/>
          <w:shd w:val="clear" w:color="auto" w:fill="FFFFFF"/>
        </w:rPr>
        <w:t>Antecedentes Docentes </w:t>
      </w:r>
      <w:r>
        <w:rPr>
          <w:rFonts w:ascii="Arial" w:hAnsi="Arial" w:cs="Arial"/>
          <w:b/>
          <w:bCs/>
          <w:color w:val="993366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Taller de auditoría – Módulo ventas y créditos por ventas. Informe del auditor – Curso para firmas miembro de red SMS Latinoamérica.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b/>
          <w:bCs/>
          <w:color w:val="993366"/>
          <w:sz w:val="20"/>
          <w:szCs w:val="20"/>
          <w:shd w:val="clear" w:color="auto" w:fill="FFFFFF"/>
        </w:rPr>
        <w:t>Cursos de Especialización </w:t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 - Normas Contables RT 21: VPP, Valor Llave.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II - Normas Contables Profesionales.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II - Patrimonio Neto.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– Impuesto a las Ganancias Sociedades Avanzado e Impuesto Diferido.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 – Ingresos Brutos Básico.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– RT 8 Estado de Flujo de Efectivo.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IFRS I y II.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Resolución Técnica 37: Normas de Auditoría, revisión, otros encargos de aseguramiento, certificación y servicios relacionados.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 xml:space="preserve">• PRISMA II - Procedimientos de </w:t>
      </w:r>
      <w:proofErr w:type="spellStart"/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Referencing</w:t>
      </w:r>
      <w:proofErr w:type="spellEnd"/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 y II – Taller de Prevención de Fraudes.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– Informe del Auditor.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II – Taller de armado de Estados Contables.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 – RT 8 y 9, Presentación de Estados Contables.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lastRenderedPageBreak/>
        <w:t>• PRISMA II – Impuesto Diferido.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 – Impuesto a las Ganancias Básico.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II – Normas vigentes de la Inspección General de Justicia.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PRISMA – BCRA Normas Cambiarias. </w:t>
      </w:r>
      <w:r>
        <w:rPr>
          <w:rFonts w:ascii="Arial" w:hAnsi="Arial" w:cs="Arial"/>
          <w:color w:val="6D6D6D"/>
          <w:sz w:val="20"/>
          <w:szCs w:val="20"/>
        </w:rPr>
        <w:br/>
      </w:r>
      <w:r>
        <w:rPr>
          <w:rFonts w:ascii="Arial" w:hAnsi="Arial" w:cs="Arial"/>
          <w:color w:val="808080"/>
          <w:sz w:val="20"/>
          <w:szCs w:val="20"/>
          <w:shd w:val="clear" w:color="auto" w:fill="FFFFFF"/>
        </w:rPr>
        <w:t>• Taller de Aplicación desarrollando el Liderazgo Personal.</w:t>
      </w:r>
      <w:bookmarkStart w:id="0" w:name="_GoBack"/>
      <w:bookmarkEnd w:id="0"/>
    </w:p>
    <w:sectPr w:rsidR="002A0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E5"/>
    <w:rsid w:val="002A0DE5"/>
    <w:rsid w:val="0083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0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A0D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0D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0DE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2A0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2A0D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A0DE5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2A0DE5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Uralde</dc:creator>
  <cp:lastModifiedBy>Elizabeth Uralde</cp:lastModifiedBy>
  <cp:revision>1</cp:revision>
  <dcterms:created xsi:type="dcterms:W3CDTF">2019-10-02T14:50:00Z</dcterms:created>
  <dcterms:modified xsi:type="dcterms:W3CDTF">2019-10-02T14:55:00Z</dcterms:modified>
</cp:coreProperties>
</file>